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0185/2005 vom 8. Dezember 2005</w:t>
      </w:r>
    </w:p>
    <w:p>
      <w:r>
        <w:t>ZH Baurekursgericht, 2005-12-08, DE</w:t>
      </w:r>
    </w:p>
    <w:p>
      <w:r>
        <w:rPr>
          <w:b/>
        </w:rPr>
        <w:t xml:space="preserve">Quelle: </w:t>
      </w:r>
      <w:r>
        <w:t>https://mcp.opencaselaw.ch/entscheid/zh_baurekursgericht_BRKE IV Nr. 0185_2005</w:t>
      </w:r>
    </w:p>
    <w:p>
      <w:r>
        <w:t>FR: ZH_BAUREKURSGERICHT BRKE IV Nr. 0185/2005 du 8 décembre 2005</w:t>
      </w:r>
    </w:p>
    <w:p>
      <w:r>
        <w:t>IT: ZH_BAUREKURSGERICHT BRKE IV Nr. 0185/2005 del 8 dicembre 2005</w:t>
      </w:r>
    </w:p>
    <w:p>
      <w:pPr>
        <w:pStyle w:val="Heading2"/>
      </w:pPr>
      <w:r>
        <w:t>Erwägungen</w:t>
      </w:r>
    </w:p>
    <w:p>
      <w:r>
        <w:rPr>
          <w:b/>
        </w:rPr>
        <w:t>E. 1</w:t>
      </w:r>
    </w:p>
    <w:p>
      <w:r>
        <w:t>Satz 1 USG dürfen die durch eine neue ortsfeste Anlage erzeugten Lärmimmissio- nen die Planungswerte in der Umgebung nicht überschreiten. Zur Umgebung des strittigen Zentrums gehört offensichtlich auch das über die M-Strasse benachbarte Wohnzonengebiet, in dem die Rekurrierenden wohnen. Aufgrund dieser räumlichen Verhältnisse hat die Neuanlage somit nicht nur die Planungswerte der für die Wohn- zone mit Gewerbeerleichterung festgesetzten Empfindlichkeitsstufe III einzuhalten, sondern die Rekurrierenden haben den Anspruch, keinen grösseren Lärmimmissio- nen ausgesetzt zu sein, als sie den strengeren Planungswerten der für die Wohnzo- ne geltenden Empfindlichkeitsstufe II entsprechen.</w:t>
      </w:r>
    </w:p>
    <w:p>
      <w:r>
        <w:t>- 3 - Für eine Anlage der vorliegenden Art bestehen keine Belastungsgrenzwerte. Dies ergibt sich zum einen daraus, dass das Zentrum wie dargelegt keinen Gewer- bebetrieb darstellt und daher Anhang 6 LSV nicht zur Anwendung gelangt. Zum an- dern setzen sich die primären Lärmemissionen der Anlage aus menschlichen Laut- äusserungen zusammen, die einer Lärmpegelbestimmung mittels Messungen ohne- hin nicht zugänglich sind. Ein Lärmpegel wäre allenfalls für den Zubringerverkehr messbar. Es handelt sich dabei jedoch um Sekundärimmissionen, die mit dem Be- trieb des Zentrums zusammenhängen und daher nicht separat unter dem Titel des Strassenverkehrslärms (Anhang 3 LSV) gewürdigt werden dürfen. Es muss vielmehr eine ganzheitliche, sämtliche Lärmfaktoren der Anlage umfassende Beurteilung durchgeführt werden (Art. 8 USG). Im vorliegenden Fall ist daher gemäss Art. 40 Abs. 3 LSV anhand der Kriterien von Art. 15 USG und unter Berücksichtigung von Art. 23 USG zu beurteilen, ob die von der Anlage ausgehenden Emissionen zu un- zumutbaren Einwirkungen führen (BGE 123 II 74, E. 4c; BGE 123 II 325, E. 4d/bb). Dabei sind der Charakter des Lärms, Zeitpunkt und Häufigkeit seines Auftretens so- wie die Lärmempfindlichkeit und Lärmvorbelastung der Zone, in der die Immissionen auftreten, zu berücksichtigen (BGE 126 II 300, E.4c/aa, 126 II 366, E.3c und 5a). 7.2. Die Lärmschutzverordnung unterscheidet zwischen der Tages- und der Nachtzeit. Für die Nachtphase, die je nach der Art der Immissionen von 22 Uhr bis 6 Uhr (Strassen- und Eisenbahnlärm) bzw. 19 Uhr bis 7 Uhr (Industrie- und Gewerbe- lärm) dauert, gelten tiefere Belastungsgrenzwerte als tagsüber. Bei der Beurteilung von Gaststätten, Freizeitzentren und ähnlichen Anlagen, wo die Emissionen primär auf menschliche Lautäusserungen bzw. Aktivitäten zurückzuführen sind, hat sich in der jüngeren Gerichtspraxis eingebürgert, gestützt auf die Richtlinie des «Cercle bru- it» zwischen einer Tagesphase (bis 19 Uhr), einer Ruhephase (bis 22 Uhr) und einer Nachtphase (ab 22 Uhr) zu unterscheiden. Dabei dürfen in der Ruhephase geringere Anforderungen an das Ruhebedürfnis der Bevölkerung gestellt werden als in der Nachtphase. Die Dauer der Ruhephase bis 22 Uhr ist vom Bundesgericht in einem den Kanton Zürich betreffenden Fall als zwar nicht zwingend, in einem ruhigen Wohnquartier aber durchaus vertretbar bezeichnet worden (BGE 1A.139/2002 vom</w:t>
      </w:r>
    </w:p>
    <w:p>
      <w:r>
        <w:rPr>
          <w:b/>
        </w:rPr>
        <w:t>E. 5</w:t>
      </w:r>
    </w:p>
    <w:p>
      <w:r>
        <w:t>März 2003). Die Emissionen des vorliegend zu beurteilenden Zentrums sind quali- tativ und auch hinsichtlich des Auftretens von Sekundäremissionen (Zubringerver- kehr) mit denjenigen einer Gaststätte oder eines Freizeitlokals vergleichbar, zumal auch eine hauseigene Cafeteria vorhanden ist. Das Quartier um die M-Strasse ist - zumindest ausserhalb der Geschäftszeiten - als ruhiges Wohnquartier zu bezeich- nen. Es steht daher nichts entgegen, auch im vorliegenden Fall zwischen Tages-, Ruhe- und Nachtphase mit dem erwähnten Zeitrahmen zu unterscheiden. 7.3. Im Rahmen der Vorsorge sind Emissionen unabhängig von der bestehen- den Umweltbelastung so weit zu begrenzen, als dies technisch und betrieblich mög- lich und wirtschaftlich tragbar ist (Art. 11 Abs. 2 USG). Mit der Einhaltung der Pla- nungswerte bzw. eines diesen entsprechenden Immissionsniveaus ist dem Vorsor- geprinzip in zahlreichen Fällen Genüge getan. Kann jedoch mit relativ geringem Auf- wand eine wesentliche zusätzliche Reduktion der Lärmbelastung erreicht werden, sind entsprechende Auflagen gestützt auf Art. 11 Abs. 2 USG und Art. 7 Abs. 1 lit. a LSV ohne weiteres zulässig bzw. geboten (BGE 124 II 517, E. 5a; A. Schrade/Th. Loretan, Kommentar zum Umweltschutzgesetz, 2. A., Hrsg. Vereinigung für Umwelt- recht/H. Keller, 1998 ff., Art. 11 Rz. 34b; R. Wolf, Art. 25 Rz. 14).</w:t>
      </w:r>
    </w:p>
    <w:p>
      <w:r>
        <w:t>- 4 - Das Kultuszentrum stellt, wie bereits erwähnt, keinen Betrieb dar; es ist kein Un- ternehmen, das nach marktwirtschaftlichen Prinzipien betrieben wird. Insofern kann das in Art. 11 Abs. 2 USG genannte Kriterium der wirtschaftlichen Tragbarkeit nicht angewendet werden; es wird durch eine Verhältnismässigkeitsprüfung ersetzt. So- dann muss das durch Art. 15 der Bundesverfassung (BV) gewährleistete Grundrecht auf Religionsausübung beachtet werden. Führt eine staatliche Massnahme dazu, dass eine unter dem Schutz von Art. 15 BV stehende religiöse Handlung gar nicht oder nur eingeschränkt durchgeführt werden kann, ist sie gemäss Art. 36 Abs. 2 BV nur zulässig, wenn die Einschränkung zum Schutz öffentlicher Interessen oder durch Grundrechte Dritter gerechtfertigt und verhältnismässig ist. Die einander entgegen- stehenden Interessen dürfen dabei nicht nur abstrakt, sondern müssen anhand kon- kreter Umstände objektiv gewürdigt werden (BGE 1A.69/2002 vom 19. März 2003, E. 3.2 und 3.3 mit zahlreichen Verweisen; www.bger.ch). (Im Rahmen der konkreten Würdigung kommt die BRK IV zum Schluss, dass das Zentrum bewilligungsfähig ist, wobei sie den angefochtenen Beschluss um zwei Nebenbestimmungen ergänzt [Aufforderung zum rechtzeitigen Verlassen des Lokals, damit dieses effektiv um 24 Uhr geschlossen werden kann; Aufstellung von Ver- kehrseinweisungsposten an den Feiertagen des Ramadan sowie an allen weiteren Tagen, an denen die Zahl der Besucher voraussichtlich mehr als 200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